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right="48"/>
        <w:jc w:val="both"/>
        <w:rPr>
          <w:rFonts w:ascii="Arial" w:cs="Arial" w:eastAsia="Arial" w:hAnsi="Arial"/>
          <w:b w:val="0"/>
          <w:i w:val="0"/>
          <w:smallCaps w:val="0"/>
          <w:strike w:val="0"/>
          <w:color w:val="000000"/>
          <w:sz w:val="18"/>
          <w:szCs w:val="18"/>
          <w:u w:val="none"/>
          <w:shd w:fill="auto" w:val="clear"/>
          <w:vertAlign w:val="baseline"/>
        </w:rPr>
        <w:sectPr>
          <w:headerReference r:id="rId7" w:type="default"/>
          <w:footerReference r:id="rId8" w:type="default"/>
          <w:pgSz w:h="16840" w:w="11910" w:orient="portrait"/>
          <w:pgMar w:bottom="1417" w:top="1417" w:left="1417" w:right="1944" w:header="288" w:footer="464"/>
          <w:pgNumType w:start="1"/>
          <w:cols w:equalWidth="0" w:num="2">
            <w:col w:space="1242" w:w="3653.4999999999995"/>
            <w:col w:space="0" w:w="3653.4999999999995"/>
          </w:cols>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-190497</wp:posOffset>
            </wp:positionH>
            <wp:positionV relativeFrom="paragraph">
              <wp:posOffset>131434</wp:posOffset>
            </wp:positionV>
            <wp:extent cx="1133793" cy="1109497"/>
            <wp:effectExtent b="0" l="0" r="0" t="0"/>
            <wp:wrapSquare wrapText="bothSides" distB="114300" distT="114300" distL="114300" distR="114300"/>
            <wp:docPr id="1790902397" name="image1.png"/>
            <a:graphic>
              <a:graphicData uri="http://schemas.openxmlformats.org/drawingml/2006/picture">
                <pic:pic>
                  <pic:nvPicPr>
                    <pic:cNvPr id="0" name="image1.png"/>
                    <pic:cNvPicPr preferRelativeResize="0"/>
                  </pic:nvPicPr>
                  <pic:blipFill>
                    <a:blip r:embed="rId9"/>
                    <a:srcRect b="17976" l="14751" r="19907" t="18041"/>
                    <a:stretch>
                      <a:fillRect/>
                    </a:stretch>
                  </pic:blipFill>
                  <pic:spPr>
                    <a:xfrm>
                      <a:off x="0" y="0"/>
                      <a:ext cx="1133793" cy="1109497"/>
                    </a:xfrm>
                    <a:prstGeom prst="rect"/>
                    <a:ln/>
                  </pic:spPr>
                </pic:pic>
              </a:graphicData>
            </a:graphic>
          </wp:anchor>
        </w:drawing>
      </w:r>
    </w:p>
    <w:p w:rsidR="00000000" w:rsidDel="00000000" w:rsidP="00000000" w:rsidRDefault="00000000" w:rsidRPr="00000000" w14:paraId="00000002">
      <w:pPr>
        <w:ind w:right="48"/>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sz w:val="18"/>
          <w:szCs w:val="18"/>
        </w:rPr>
        <w:drawing>
          <wp:inline distB="114300" distT="114300" distL="114300" distR="114300">
            <wp:extent cx="1832768" cy="735659"/>
            <wp:effectExtent b="0" l="0" r="0" t="0"/>
            <wp:docPr descr="IBM Db2 - Wikiwand" id="1790902396" name="image3.png"/>
            <a:graphic>
              <a:graphicData uri="http://schemas.openxmlformats.org/drawingml/2006/picture">
                <pic:pic>
                  <pic:nvPicPr>
                    <pic:cNvPr descr="IBM Db2 - Wikiwand" id="0" name="image3.png"/>
                    <pic:cNvPicPr preferRelativeResize="0"/>
                  </pic:nvPicPr>
                  <pic:blipFill>
                    <a:blip r:embed="rId10"/>
                    <a:srcRect b="0" l="0" r="0" t="0"/>
                    <a:stretch>
                      <a:fillRect/>
                    </a:stretch>
                  </pic:blipFill>
                  <pic:spPr>
                    <a:xfrm>
                      <a:off x="0" y="0"/>
                      <a:ext cx="1832768" cy="73565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i w:val="0"/>
          <w:smallCaps w:val="0"/>
          <w:strike w:val="0"/>
          <w:color w:val="073763"/>
          <w:sz w:val="24"/>
          <w:szCs w:val="24"/>
          <w:u w:val="none"/>
          <w:shd w:fill="auto" w:val="clear"/>
          <w:vertAlign w:val="baseline"/>
        </w:rPr>
      </w:pPr>
      <w:r w:rsidDel="00000000" w:rsidR="00000000" w:rsidRPr="00000000">
        <w:rPr>
          <w:rFonts w:ascii="Comfortaa" w:cs="Comfortaa" w:eastAsia="Comfortaa" w:hAnsi="Comfortaa"/>
          <w:b w:val="1"/>
          <w:color w:val="073763"/>
          <w:sz w:val="24"/>
          <w:szCs w:val="24"/>
          <w:rtl w:val="0"/>
        </w:rPr>
        <w:t xml:space="preserve">IBM</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i w:val="0"/>
          <w:smallCaps w:val="0"/>
          <w:strike w:val="0"/>
          <w:color w:val="073763"/>
          <w:sz w:val="18"/>
          <w:szCs w:val="18"/>
          <w:u w:val="none"/>
          <w:shd w:fill="auto" w:val="clear"/>
          <w:vertAlign w:val="baseline"/>
        </w:rPr>
      </w:pPr>
      <w:r w:rsidDel="00000000" w:rsidR="00000000" w:rsidRPr="00000000">
        <w:rPr>
          <w:rFonts w:ascii="Comfortaa" w:cs="Comfortaa" w:eastAsia="Comfortaa" w:hAnsi="Comfortaa"/>
          <w:b w:val="1"/>
          <w:i w:val="0"/>
          <w:smallCaps w:val="0"/>
          <w:strike w:val="0"/>
          <w:color w:val="073763"/>
          <w:sz w:val="18"/>
          <w:szCs w:val="18"/>
          <w:u w:val="none"/>
          <w:shd w:fill="auto" w:val="clear"/>
          <w:vertAlign w:val="baseline"/>
          <w:rtl w:val="0"/>
        </w:rPr>
        <w:t xml:space="preserve">Localisation : État de New York, États-Unis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color w:val="073763"/>
          <w:sz w:val="18"/>
          <w:szCs w:val="18"/>
        </w:rPr>
      </w:pPr>
      <w:r w:rsidDel="00000000" w:rsidR="00000000" w:rsidRPr="00000000">
        <w:rPr>
          <w:rFonts w:ascii="Comfortaa" w:cs="Comfortaa" w:eastAsia="Comfortaa" w:hAnsi="Comfortaa"/>
          <w:b w:val="1"/>
          <w:i w:val="0"/>
          <w:smallCaps w:val="0"/>
          <w:strike w:val="0"/>
          <w:color w:val="073763"/>
          <w:sz w:val="18"/>
          <w:szCs w:val="18"/>
          <w:u w:val="none"/>
          <w:shd w:fill="auto" w:val="clear"/>
          <w:vertAlign w:val="baseline"/>
          <w:rtl w:val="0"/>
        </w:rPr>
        <w:t xml:space="preserve">Industries : </w:t>
      </w:r>
      <w:r w:rsidDel="00000000" w:rsidR="00000000" w:rsidRPr="00000000">
        <w:rPr>
          <w:rFonts w:ascii="Comfortaa" w:cs="Comfortaa" w:eastAsia="Comfortaa" w:hAnsi="Comfortaa"/>
          <w:b w:val="1"/>
          <w:color w:val="073763"/>
          <w:sz w:val="18"/>
          <w:szCs w:val="18"/>
          <w:rtl w:val="0"/>
        </w:rPr>
        <w:t xml:space="preserve">Technologies et Informatique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rPr>
          <w:rFonts w:ascii="Comfortaa" w:cs="Comfortaa" w:eastAsia="Comfortaa" w:hAnsi="Comfortaa"/>
          <w:b w:val="1"/>
          <w:color w:val="ec1e26"/>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rPr>
          <w:rFonts w:ascii="Comfortaa" w:cs="Comfortaa" w:eastAsia="Comfortaa" w:hAnsi="Comfortaa"/>
          <w:b w:val="1"/>
          <w:color w:val="ec1e26"/>
          <w:sz w:val="18"/>
          <w:szCs w:val="18"/>
        </w:rPr>
      </w:pPr>
      <w:r w:rsidDel="00000000" w:rsidR="00000000" w:rsidRPr="00000000">
        <w:rPr>
          <w:rFonts w:ascii="Comfortaa" w:cs="Comfortaa" w:eastAsia="Comfortaa" w:hAnsi="Comfortaa"/>
          <w:b w:val="1"/>
          <w:color w:val="ec1e26"/>
          <w:sz w:val="18"/>
          <w:szCs w:val="18"/>
          <w:rtl w:val="0"/>
        </w:rPr>
        <w:t xml:space="preserve">RISQUE ÉLEVÉ</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B">
      <w:pPr>
        <w:ind w:right="48"/>
        <w:rPr>
          <w:rFonts w:ascii="Comfortaa" w:cs="Comfortaa" w:eastAsia="Comfortaa" w:hAnsi="Comfortaa"/>
          <w:b w:val="1"/>
          <w:color w:val="073763"/>
          <w:sz w:val="18"/>
          <w:szCs w:val="18"/>
        </w:rPr>
      </w:pPr>
      <w:r w:rsidDel="00000000" w:rsidR="00000000" w:rsidRPr="00000000">
        <w:rPr>
          <w:rFonts w:ascii="Comfortaa" w:cs="Comfortaa" w:eastAsia="Comfortaa" w:hAnsi="Comfortaa"/>
          <w:b w:val="1"/>
          <w:color w:val="073763"/>
          <w:sz w:val="18"/>
          <w:szCs w:val="18"/>
          <w:rtl w:val="0"/>
        </w:rPr>
        <w:t xml:space="preserve">Évaluation globale : </w:t>
      </w:r>
    </w:p>
    <w:p w:rsidR="00000000" w:rsidDel="00000000" w:rsidP="00000000" w:rsidRDefault="00000000" w:rsidRPr="00000000" w14:paraId="0000000C">
      <w:pPr>
        <w:ind w:right="48"/>
        <w:jc w:val="both"/>
        <w:rPr>
          <w:rFonts w:ascii="Comfortaa" w:cs="Comfortaa" w:eastAsia="Comfortaa" w:hAnsi="Comfortaa"/>
          <w:color w:val="073763"/>
          <w:sz w:val="18"/>
          <w:szCs w:val="18"/>
        </w:rPr>
      </w:pPr>
      <w:r w:rsidDel="00000000" w:rsidR="00000000" w:rsidRPr="00000000">
        <w:rPr>
          <w:rFonts w:ascii="Comfortaa" w:cs="Comfortaa" w:eastAsia="Comfortaa" w:hAnsi="Comfortaa"/>
          <w:color w:val="073763"/>
          <w:sz w:val="18"/>
          <w:szCs w:val="18"/>
          <w:rtl w:val="0"/>
        </w:rPr>
        <w:t xml:space="preserve">International Business Machines Corporation (IBM), est une entreprise multinationale américaine du domaine du matériel informatique, du logiciel et des services informatiques.</w:t>
      </w:r>
    </w:p>
    <w:p w:rsidR="00000000" w:rsidDel="00000000" w:rsidP="00000000" w:rsidRDefault="00000000" w:rsidRPr="00000000" w14:paraId="0000000D">
      <w:pPr>
        <w:ind w:right="48"/>
        <w:rPr>
          <w:rFonts w:ascii="Comfortaa" w:cs="Comfortaa" w:eastAsia="Comfortaa" w:hAnsi="Comfortaa"/>
          <w:b w:val="1"/>
          <w:color w:val="073763"/>
          <w:sz w:val="18"/>
          <w:szCs w:val="18"/>
        </w:rPr>
      </w:pPr>
      <w:r w:rsidDel="00000000" w:rsidR="00000000" w:rsidRPr="00000000">
        <w:rPr>
          <w:rtl w:val="0"/>
        </w:rPr>
      </w:r>
    </w:p>
    <w:p w:rsidR="00000000" w:rsidDel="00000000" w:rsidP="00000000" w:rsidRDefault="00000000" w:rsidRPr="00000000" w14:paraId="0000000E">
      <w:pPr>
        <w:ind w:right="48"/>
        <w:rPr>
          <w:rFonts w:ascii="Comfortaa" w:cs="Comfortaa" w:eastAsia="Comfortaa" w:hAnsi="Comfortaa"/>
          <w:color w:val="073763"/>
          <w:sz w:val="18"/>
          <w:szCs w:val="18"/>
        </w:rPr>
      </w:pPr>
      <w:r w:rsidDel="00000000" w:rsidR="00000000" w:rsidRPr="00000000">
        <w:rPr>
          <w:rFonts w:ascii="Comfortaa" w:cs="Comfortaa" w:eastAsia="Comfortaa" w:hAnsi="Comfortaa"/>
          <w:color w:val="073763"/>
          <w:sz w:val="18"/>
          <w:szCs w:val="18"/>
          <w:rtl w:val="0"/>
        </w:rPr>
        <w:t xml:space="preserve">IBM réalise une forte discrimination à l’embauche, favorisant différents critères tels que le sexe, l’identité de genre ou la race par rapport aux compétences, en plus de soutenir des politiques idéologiques à l’échelle locale et nationale.</w:t>
      </w:r>
    </w:p>
    <w:p w:rsidR="00000000" w:rsidDel="00000000" w:rsidP="00000000" w:rsidRDefault="00000000" w:rsidRPr="00000000" w14:paraId="0000000F">
      <w:pPr>
        <w:ind w:right="48"/>
        <w:rPr>
          <w:rFonts w:ascii="Comfortaa" w:cs="Comfortaa" w:eastAsia="Comfortaa" w:hAnsi="Comfortaa"/>
          <w:color w:val="073763"/>
          <w:sz w:val="18"/>
          <w:szCs w:val="18"/>
        </w:rPr>
      </w:pPr>
      <w:r w:rsidDel="00000000" w:rsidR="00000000" w:rsidRPr="00000000">
        <w:rPr>
          <w:rtl w:val="0"/>
        </w:rPr>
      </w:r>
    </w:p>
    <w:p w:rsidR="00000000" w:rsidDel="00000000" w:rsidP="00000000" w:rsidRDefault="00000000" w:rsidRPr="00000000" w14:paraId="00000010">
      <w:pPr>
        <w:ind w:right="48"/>
        <w:rPr>
          <w:rFonts w:ascii="Comfortaa" w:cs="Comfortaa" w:eastAsia="Comfortaa" w:hAnsi="Comfortaa"/>
          <w:color w:val="073763"/>
          <w:sz w:val="18"/>
          <w:szCs w:val="18"/>
        </w:rPr>
        <w:sectPr>
          <w:type w:val="continuous"/>
          <w:pgSz w:h="16840" w:w="11910" w:orient="portrait"/>
          <w:pgMar w:bottom="1417" w:top="1417" w:left="1417" w:right="1944" w:header="340" w:footer="464"/>
        </w:sectPr>
      </w:pPr>
      <w:r w:rsidDel="00000000" w:rsidR="00000000" w:rsidRPr="00000000">
        <w:rPr>
          <w:rFonts w:ascii="Comfortaa" w:cs="Comfortaa" w:eastAsia="Comfortaa" w:hAnsi="Comfortaa"/>
          <w:color w:val="073763"/>
          <w:sz w:val="18"/>
          <w:szCs w:val="18"/>
          <w:rtl w:val="0"/>
        </w:rPr>
        <w:t xml:space="preserve">Pour ces raisons, nous estimons élevé le risque d' IBM.</w:t>
      </w:r>
    </w:p>
    <w:p w:rsidR="00000000" w:rsidDel="00000000" w:rsidP="00000000" w:rsidRDefault="00000000" w:rsidRPr="00000000" w14:paraId="00000011">
      <w:pPr>
        <w:ind w:right="450"/>
        <w:jc w:val="both"/>
        <w:rPr>
          <w:rFonts w:ascii="Comfortaa" w:cs="Comfortaa" w:eastAsia="Comfortaa" w:hAnsi="Comfortaa"/>
          <w:b w:val="1"/>
          <w:color w:val="073763"/>
          <w:sz w:val="26"/>
          <w:szCs w:val="26"/>
        </w:rPr>
      </w:pPr>
      <w:r w:rsidDel="00000000" w:rsidR="00000000" w:rsidRPr="00000000">
        <w:rPr>
          <w:rtl w:val="0"/>
        </w:rPr>
      </w:r>
    </w:p>
    <w:p w:rsidR="00000000" w:rsidDel="00000000" w:rsidP="00000000" w:rsidRDefault="00000000" w:rsidRPr="00000000" w14:paraId="00000012">
      <w:pPr>
        <w:ind w:right="450"/>
        <w:jc w:val="both"/>
        <w:rPr>
          <w:rFonts w:ascii="Comfortaa" w:cs="Comfortaa" w:eastAsia="Comfortaa" w:hAnsi="Comfortaa"/>
          <w:b w:val="1"/>
          <w:color w:val="073763"/>
          <w:sz w:val="26"/>
          <w:szCs w:val="26"/>
        </w:rPr>
        <w:sectPr>
          <w:type w:val="continuous"/>
          <w:pgSz w:h="16840" w:w="11910" w:orient="portrait"/>
          <w:pgMar w:bottom="1417" w:top="1417" w:left="1417" w:right="1944" w:header="340" w:footer="464"/>
        </w:sectPr>
      </w:pPr>
      <w:r w:rsidDel="00000000" w:rsidR="00000000" w:rsidRPr="00000000">
        <w:rPr>
          <w:rFonts w:ascii="Comfortaa" w:cs="Comfortaa" w:eastAsia="Comfortaa" w:hAnsi="Comfortaa"/>
          <w:b w:val="1"/>
          <w:color w:val="073763"/>
          <w:sz w:val="26"/>
          <w:szCs w:val="26"/>
          <w:rtl w:val="0"/>
        </w:rPr>
        <w:t xml:space="preserve">Gouvernance interne et image de l’entreprise </w:t>
      </w:r>
    </w:p>
    <w:p w:rsidR="00000000" w:rsidDel="00000000" w:rsidP="00000000" w:rsidRDefault="00000000" w:rsidRPr="00000000" w14:paraId="00000013">
      <w:pPr>
        <w:ind w:right="-90.0000000000015"/>
        <w:jc w:val="both"/>
        <w:rPr>
          <w:b w:val="1"/>
          <w:color w:val="3d85c6"/>
          <w:sz w:val="18"/>
          <w:szCs w:val="18"/>
          <w:shd w:fill="cfe2f3" w:val="clear"/>
        </w:rPr>
      </w:pPr>
      <w:r w:rsidDel="00000000" w:rsidR="00000000" w:rsidRPr="00000000">
        <w:rPr>
          <w:rtl w:val="0"/>
        </w:rPr>
      </w:r>
    </w:p>
    <w:p w:rsidR="00000000" w:rsidDel="00000000" w:rsidP="00000000" w:rsidRDefault="00000000" w:rsidRPr="00000000" w14:paraId="00000014">
      <w:pPr>
        <w:ind w:right="-90.0000000000015"/>
        <w:jc w:val="both"/>
        <w:rPr>
          <w:b w:val="1"/>
          <w:color w:val="3d85c6"/>
          <w:sz w:val="18"/>
          <w:szCs w:val="18"/>
          <w:shd w:fill="cfe2f3" w:val="clear"/>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Politiques portant atteinte à la liberté de conscience et/ou à la liberté d’expression ou éléments de propagande interne</w:t>
      </w:r>
      <w:r w:rsidDel="00000000" w:rsidR="00000000" w:rsidRPr="00000000">
        <w:drawing>
          <wp:anchor allowOverlap="1" behindDoc="0" distB="114300" distT="114300" distL="114300" distR="114300" hidden="0" layoutInCell="1" locked="0" relativeHeight="0" simplePos="0">
            <wp:simplePos x="0" y="0"/>
            <wp:positionH relativeFrom="column">
              <wp:posOffset>5029200</wp:posOffset>
            </wp:positionH>
            <wp:positionV relativeFrom="paragraph">
              <wp:posOffset>262868</wp:posOffset>
            </wp:positionV>
            <wp:extent cx="997479" cy="619125"/>
            <wp:effectExtent b="0" l="0" r="0" t="0"/>
            <wp:wrapSquare wrapText="bothSides" distB="114300" distT="114300" distL="114300" distR="114300"/>
            <wp:docPr id="1790902398" name="image5.png"/>
            <a:graphic>
              <a:graphicData uri="http://schemas.openxmlformats.org/drawingml/2006/picture">
                <pic:pic>
                  <pic:nvPicPr>
                    <pic:cNvPr id="0" name="image5.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15">
      <w:pPr>
        <w:ind w:right="-95.66929133858139"/>
        <w:jc w:val="both"/>
        <w:rPr>
          <w:b w:val="1"/>
          <w:i w:val="1"/>
          <w:sz w:val="18"/>
          <w:szCs w:val="18"/>
        </w:rPr>
      </w:pPr>
      <w:r w:rsidDel="00000000" w:rsidR="00000000" w:rsidRPr="00000000">
        <w:rPr>
          <w:rtl w:val="0"/>
        </w:rPr>
      </w:r>
    </w:p>
    <w:p w:rsidR="00000000" w:rsidDel="00000000" w:rsidP="00000000" w:rsidRDefault="00000000" w:rsidRPr="00000000" w14:paraId="00000016">
      <w:pPr>
        <w:ind w:right="-95.66929133858139"/>
        <w:jc w:val="both"/>
        <w:rPr>
          <w:sz w:val="18"/>
          <w:szCs w:val="18"/>
        </w:rPr>
      </w:pPr>
      <w:r w:rsidDel="00000000" w:rsidR="00000000" w:rsidRPr="00000000">
        <w:rPr>
          <w:sz w:val="18"/>
          <w:szCs w:val="18"/>
          <w:rtl w:val="0"/>
        </w:rPr>
        <w:t xml:space="preserve">IBM a reçu une note de HRC pour 2023-2024 CEI indiquant que l'entreprise oblige les employés à assister à de multiples formations controversées sur l'identité de genre, l'orientation sexuelle, les questions transgenres et l'idéologie raciale clivante. L'entreprise fournit des lignes directrices sur la transition de genre pour ses employés ainsi qu'un guide des avantages spécifiques expliquant en détail les services transgenres financés par l'entreprise (</w:t>
      </w:r>
      <w:hyperlink r:id="rId12">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13">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 </w:t>
      </w:r>
    </w:p>
    <w:p w:rsidR="00000000" w:rsidDel="00000000" w:rsidP="00000000" w:rsidRDefault="00000000" w:rsidRPr="00000000" w14:paraId="00000017">
      <w:pPr>
        <w:ind w:right="-95.66929133858139"/>
        <w:jc w:val="both"/>
        <w:rPr>
          <w:sz w:val="18"/>
          <w:szCs w:val="18"/>
        </w:rPr>
      </w:pPr>
      <w:r w:rsidDel="00000000" w:rsidR="00000000" w:rsidRPr="00000000">
        <w:rPr>
          <w:sz w:val="18"/>
          <w:szCs w:val="18"/>
          <w:rtl w:val="0"/>
        </w:rPr>
        <w:t xml:space="preserve">L'ancien PDG de l'entreprise, Ginni Rometty, a signé l'engagement CEO Action for Diversity &amp; Inclusion, qui comprend un engagement à promouvoir la diversité, l'équité et l'inclusion (DEI) par le biais de formations sur les préjugés en milieu de travail  (</w:t>
      </w:r>
      <w:hyperlink r:id="rId14">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hyperlink r:id="rId15">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p>
    <w:p w:rsidR="00000000" w:rsidDel="00000000" w:rsidP="00000000" w:rsidRDefault="00000000" w:rsidRPr="00000000" w14:paraId="00000018">
      <w:pPr>
        <w:ind w:right="-95.66929133858139"/>
        <w:jc w:val="both"/>
        <w:rPr>
          <w:sz w:val="18"/>
          <w:szCs w:val="18"/>
        </w:rPr>
        <w:sectPr>
          <w:type w:val="continuous"/>
          <w:pgSz w:h="16840" w:w="11910" w:orient="portrait"/>
          <w:pgMar w:bottom="1417" w:top="1417" w:left="1417" w:right="1944" w:header="340" w:footer="464"/>
        </w:sect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b w:val="1"/>
          <w:color w:val="3d85c6"/>
          <w:sz w:val="18"/>
          <w:szCs w:val="18"/>
          <w:shd w:fill="cfe2f3" w:val="clear"/>
        </w:rPr>
      </w:pPr>
      <w:r w:rsidDel="00000000" w:rsidR="00000000" w:rsidRPr="00000000">
        <w:rPr>
          <w:rFonts w:ascii="Arial" w:cs="Arial" w:eastAsia="Arial" w:hAnsi="Arial"/>
          <w:b w:val="1"/>
          <w:i w:val="0"/>
          <w:smallCaps w:val="0"/>
          <w:strike w:val="0"/>
          <w:color w:val="3d85c6"/>
          <w:sz w:val="18"/>
          <w:szCs w:val="18"/>
          <w:u w:val="none"/>
          <w:shd w:fill="cfe2f3" w:val="clear"/>
          <w:vertAlign w:val="baseline"/>
          <w:rtl w:val="0"/>
        </w:rPr>
        <w:t xml:space="preserve">Politiques d'embauche en faveur des minorités ou abondement discriminatoire d</w:t>
      </w:r>
      <w:r w:rsidDel="00000000" w:rsidR="00000000" w:rsidRPr="00000000">
        <w:rPr>
          <w:b w:val="1"/>
          <w:color w:val="3d85c6"/>
          <w:sz w:val="18"/>
          <w:szCs w:val="18"/>
          <w:shd w:fill="cfe2f3" w:val="clear"/>
          <w:rtl w:val="0"/>
        </w:rPr>
        <w:t xml:space="preserve">’une catégorie d’</w:t>
      </w:r>
      <w:r w:rsidDel="00000000" w:rsidR="00000000" w:rsidRPr="00000000">
        <w:rPr>
          <w:rFonts w:ascii="Arial" w:cs="Arial" w:eastAsia="Arial" w:hAnsi="Arial"/>
          <w:b w:val="1"/>
          <w:i w:val="0"/>
          <w:smallCaps w:val="0"/>
          <w:strike w:val="0"/>
          <w:color w:val="3d85c6"/>
          <w:sz w:val="18"/>
          <w:szCs w:val="18"/>
          <w:u w:val="none"/>
          <w:shd w:fill="cfe2f3" w:val="clear"/>
          <w:vertAlign w:val="baseline"/>
          <w:rtl w:val="0"/>
        </w:rPr>
        <w:t xml:space="preserve">e</w:t>
      </w:r>
      <w:r w:rsidDel="00000000" w:rsidR="00000000" w:rsidRPr="00000000">
        <w:rPr>
          <w:b w:val="1"/>
          <w:color w:val="3d85c6"/>
          <w:sz w:val="18"/>
          <w:szCs w:val="18"/>
          <w:shd w:fill="cfe2f3" w:val="clear"/>
          <w:rtl w:val="0"/>
        </w:rPr>
        <w:t xml:space="preserve">mployés sur critères idéologiques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b w:val="1"/>
          <w:color w:val="3d85c6"/>
          <w:sz w:val="18"/>
          <w:szCs w:val="18"/>
          <w:shd w:fill="cfe2f3"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5029200</wp:posOffset>
            </wp:positionH>
            <wp:positionV relativeFrom="paragraph">
              <wp:posOffset>198109</wp:posOffset>
            </wp:positionV>
            <wp:extent cx="997479" cy="619125"/>
            <wp:effectExtent b="0" l="0" r="0" t="0"/>
            <wp:wrapSquare wrapText="bothSides" distB="114300" distT="114300" distL="114300" distR="114300"/>
            <wp:docPr id="1790902391" name="image5.png"/>
            <a:graphic>
              <a:graphicData uri="http://schemas.openxmlformats.org/drawingml/2006/picture">
                <pic:pic>
                  <pic:nvPicPr>
                    <pic:cNvPr id="0" name="image5.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sz w:val="18"/>
          <w:szCs w:val="18"/>
        </w:rPr>
      </w:pPr>
      <w:r w:rsidDel="00000000" w:rsidR="00000000" w:rsidRPr="00000000">
        <w:rPr>
          <w:sz w:val="18"/>
          <w:szCs w:val="18"/>
          <w:rtl w:val="0"/>
        </w:rPr>
        <w:t xml:space="preserve">America First Legal a déposé une lettre auprès de l'EEOC demandant une enquête sur les pratiques discriminatoires d'IBM en matière d'embauche (</w:t>
      </w:r>
      <w:hyperlink r:id="rId16">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17">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sz w:val="18"/>
          <w:szCs w:val="18"/>
        </w:rPr>
      </w:pPr>
      <w:r w:rsidDel="00000000" w:rsidR="00000000" w:rsidRPr="00000000">
        <w:rPr>
          <w:sz w:val="18"/>
          <w:szCs w:val="18"/>
          <w:rtl w:val="0"/>
        </w:rPr>
        <w:t xml:space="preserve">IBM avait un programme de stage intitulé "Internship for Underrepresented Minorities" qui exclut les candidats en fonction de leur race, empêchant les candidats blancs ou asiatiques de postuler  (</w:t>
      </w:r>
      <w:hyperlink r:id="rId18">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sz w:val="18"/>
          <w:szCs w:val="18"/>
        </w:rPr>
      </w:pPr>
      <w:r w:rsidDel="00000000" w:rsidR="00000000" w:rsidRPr="00000000">
        <w:rPr>
          <w:sz w:val="18"/>
          <w:szCs w:val="18"/>
          <w:rtl w:val="0"/>
        </w:rPr>
        <w:t xml:space="preserve">Le score CEI HRC 2023-2024 d'IBM indique que l’entreprise inclut l’identité sexuelle comme critère de recrutement (</w:t>
      </w:r>
      <w:hyperlink r:id="rId19">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hyperlink r:id="rId20">
        <w:r w:rsidDel="00000000" w:rsidR="00000000" w:rsidRPr="00000000">
          <w:rPr>
            <w:color w:val="1155cc"/>
            <w:sz w:val="18"/>
            <w:szCs w:val="18"/>
            <w:u w:val="single"/>
            <w:rtl w:val="0"/>
          </w:rPr>
          <w:t xml:space="preserve">5</w:t>
        </w:r>
      </w:hyperlink>
      <w:r w:rsidDel="00000000" w:rsidR="00000000" w:rsidRPr="00000000">
        <w:rPr>
          <w:sz w:val="18"/>
          <w:szCs w:val="18"/>
          <w:rtl w:val="0"/>
        </w:rPr>
        <w:t xml:space="preserve">).</w:t>
      </w:r>
    </w:p>
    <w:p w:rsidR="00000000" w:rsidDel="00000000" w:rsidP="00000000" w:rsidRDefault="00000000" w:rsidRPr="00000000" w14:paraId="0000001E">
      <w:pPr>
        <w:ind w:right="-95.66929133858139"/>
        <w:jc w:val="both"/>
        <w:rPr>
          <w:sz w:val="18"/>
          <w:szCs w:val="18"/>
        </w:rPr>
      </w:pPr>
      <w:r w:rsidDel="00000000" w:rsidR="00000000" w:rsidRPr="00000000">
        <w:rPr>
          <w:sz w:val="18"/>
          <w:szCs w:val="18"/>
          <w:rtl w:val="0"/>
        </w:rPr>
        <w:t xml:space="preserve">IBM est également un partenaire de OneTen, qui valorise la priorisation de la race dans les pratiques d'embauche (</w:t>
      </w:r>
      <w:hyperlink r:id="rId21">
        <w:r w:rsidDel="00000000" w:rsidR="00000000" w:rsidRPr="00000000">
          <w:rPr>
            <w:color w:val="1155cc"/>
            <w:sz w:val="18"/>
            <w:szCs w:val="18"/>
            <w:u w:val="single"/>
            <w:rtl w:val="0"/>
          </w:rPr>
          <w:t xml:space="preserve">6</w:t>
        </w:r>
      </w:hyperlink>
      <w:r w:rsidDel="00000000" w:rsidR="00000000" w:rsidRPr="00000000">
        <w:rPr>
          <w:sz w:val="18"/>
          <w:szCs w:val="18"/>
          <w:rtl w:val="0"/>
        </w:rPr>
        <w:t xml:space="preserve">)</w:t>
      </w:r>
    </w:p>
    <w:p w:rsidR="00000000" w:rsidDel="00000000" w:rsidP="00000000" w:rsidRDefault="00000000" w:rsidRPr="00000000" w14:paraId="0000001F">
      <w:pPr>
        <w:ind w:right="-95.66929133858139"/>
        <w:jc w:val="both"/>
        <w:rPr>
          <w:sz w:val="18"/>
          <w:szCs w:val="18"/>
        </w:rPr>
      </w:pPr>
      <w:r w:rsidDel="00000000" w:rsidR="00000000" w:rsidRPr="00000000">
        <w:rPr>
          <w:sz w:val="18"/>
          <w:szCs w:val="18"/>
          <w:rtl w:val="0"/>
        </w:rPr>
        <w:t xml:space="preserve">IBM est membre de la MCCA, ce qui indique son engagement à recruter et promouvoir des employés sur la base de la race  (</w:t>
      </w:r>
      <w:hyperlink r:id="rId22">
        <w:r w:rsidDel="00000000" w:rsidR="00000000" w:rsidRPr="00000000">
          <w:rPr>
            <w:color w:val="1155cc"/>
            <w:sz w:val="18"/>
            <w:szCs w:val="18"/>
            <w:u w:val="single"/>
            <w:rtl w:val="0"/>
          </w:rPr>
          <w:t xml:space="preserve">7</w:t>
        </w:r>
      </w:hyperlink>
      <w:r w:rsidDel="00000000" w:rsidR="00000000" w:rsidRPr="00000000">
        <w:rPr>
          <w:sz w:val="18"/>
          <w:szCs w:val="18"/>
          <w:rtl w:val="0"/>
        </w:rPr>
        <w:t xml:space="preserve">)(</w:t>
      </w:r>
      <w:hyperlink r:id="rId23">
        <w:r w:rsidDel="00000000" w:rsidR="00000000" w:rsidRPr="00000000">
          <w:rPr>
            <w:color w:val="1155cc"/>
            <w:sz w:val="18"/>
            <w:szCs w:val="18"/>
            <w:u w:val="single"/>
            <w:rtl w:val="0"/>
          </w:rPr>
          <w:t xml:space="preserve">8</w:t>
        </w:r>
      </w:hyperlink>
      <w:r w:rsidDel="00000000" w:rsidR="00000000" w:rsidRPr="00000000">
        <w:rPr>
          <w:sz w:val="18"/>
          <w:szCs w:val="18"/>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0000000000015" w:firstLine="0"/>
        <w:jc w:val="both"/>
        <w:rPr>
          <w:sz w:val="18"/>
          <w:szCs w:val="18"/>
        </w:rPr>
        <w:sectPr>
          <w:type w:val="continuous"/>
          <w:pgSz w:h="16840" w:w="11910" w:orient="portrait"/>
          <w:pgMar w:bottom="1417" w:top="1417" w:left="1417" w:right="1944" w:header="340" w:footer="464"/>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5143500</wp:posOffset>
            </wp:positionH>
            <wp:positionV relativeFrom="paragraph">
              <wp:posOffset>131434</wp:posOffset>
            </wp:positionV>
            <wp:extent cx="942975" cy="568101"/>
            <wp:effectExtent b="0" l="0" r="0" t="0"/>
            <wp:wrapSquare wrapText="bothSides" distB="114300" distT="114300" distL="114300" distR="114300"/>
            <wp:docPr id="1790902400" name="image4.png"/>
            <a:graphic>
              <a:graphicData uri="http://schemas.openxmlformats.org/drawingml/2006/picture">
                <pic:pic>
                  <pic:nvPicPr>
                    <pic:cNvPr id="0" name="image4.png"/>
                    <pic:cNvPicPr preferRelativeResize="0"/>
                  </pic:nvPicPr>
                  <pic:blipFill>
                    <a:blip r:embed="rId24"/>
                    <a:srcRect b="24232" l="0" r="0" t="16145"/>
                    <a:stretch>
                      <a:fillRect/>
                    </a:stretch>
                  </pic:blipFill>
                  <pic:spPr>
                    <a:xfrm>
                      <a:off x="0" y="0"/>
                      <a:ext cx="942975" cy="568101"/>
                    </a:xfrm>
                    <a:prstGeom prst="rect"/>
                    <a:ln/>
                  </pic:spPr>
                </pic:pic>
              </a:graphicData>
            </a:graphic>
          </wp:anchor>
        </w:drawing>
      </w:r>
    </w:p>
    <w:p w:rsidR="00000000" w:rsidDel="00000000" w:rsidP="00000000" w:rsidRDefault="00000000" w:rsidRPr="00000000" w14:paraId="00000021">
      <w:pPr>
        <w:spacing w:line="276" w:lineRule="auto"/>
        <w:ind w:right="-90.0000000000015"/>
        <w:jc w:val="both"/>
        <w:rPr>
          <w:b w:val="1"/>
          <w:color w:val="3d85c6"/>
          <w:sz w:val="18"/>
          <w:szCs w:val="18"/>
          <w:shd w:fill="cfe2f3" w:val="clear"/>
        </w:rPr>
      </w:pPr>
      <w:r w:rsidDel="00000000" w:rsidR="00000000" w:rsidRPr="00000000">
        <w:rPr>
          <w:b w:val="1"/>
          <w:color w:val="3d85c6"/>
          <w:sz w:val="18"/>
          <w:szCs w:val="18"/>
          <w:shd w:fill="cfe2f3" w:val="clear"/>
          <w:rtl w:val="0"/>
        </w:rPr>
        <w:t xml:space="preserve">Boycott de clients, partenaires ou autre groupe de personnes en raison de leurs opinions </w:t>
      </w:r>
    </w:p>
    <w:p w:rsidR="00000000" w:rsidDel="00000000" w:rsidP="00000000" w:rsidRDefault="00000000" w:rsidRPr="00000000" w14:paraId="00000022">
      <w:pPr>
        <w:spacing w:line="276" w:lineRule="auto"/>
        <w:ind w:right="-90.0000000000015"/>
        <w:jc w:val="both"/>
        <w:rPr>
          <w:sz w:val="18"/>
          <w:szCs w:val="18"/>
        </w:rPr>
      </w:pPr>
      <w:r w:rsidDel="00000000" w:rsidR="00000000" w:rsidRPr="00000000">
        <w:rPr>
          <w:rtl w:val="0"/>
        </w:rPr>
      </w:r>
    </w:p>
    <w:p w:rsidR="00000000" w:rsidDel="00000000" w:rsidP="00000000" w:rsidRDefault="00000000" w:rsidRPr="00000000" w14:paraId="00000023">
      <w:pPr>
        <w:spacing w:line="276" w:lineRule="auto"/>
        <w:ind w:right="-90.0000000000015"/>
        <w:jc w:val="both"/>
        <w:rPr>
          <w:sz w:val="18"/>
          <w:szCs w:val="18"/>
        </w:rPr>
      </w:pPr>
      <w:r w:rsidDel="00000000" w:rsidR="00000000" w:rsidRPr="00000000">
        <w:rPr>
          <w:sz w:val="18"/>
          <w:szCs w:val="18"/>
          <w:rtl w:val="0"/>
        </w:rPr>
        <w:t xml:space="preserve">IBM n’a pas publiquement stoppé de relation commerciale en raison de divergences d’opinion.</w:t>
      </w:r>
    </w:p>
    <w:p w:rsidR="00000000" w:rsidDel="00000000" w:rsidP="00000000" w:rsidRDefault="00000000" w:rsidRPr="00000000" w14:paraId="00000024">
      <w:pPr>
        <w:spacing w:line="276" w:lineRule="auto"/>
        <w:ind w:right="-90.0000000000015"/>
        <w:jc w:val="both"/>
        <w:rPr>
          <w:sz w:val="18"/>
          <w:szCs w:val="18"/>
        </w:rPr>
      </w:pPr>
      <w:r w:rsidDel="00000000" w:rsidR="00000000" w:rsidRPr="00000000">
        <w:rPr>
          <w:rtl w:val="0"/>
        </w:rPr>
      </w:r>
    </w:p>
    <w:p w:rsidR="00000000" w:rsidDel="00000000" w:rsidP="00000000" w:rsidRDefault="00000000" w:rsidRPr="00000000" w14:paraId="00000025">
      <w:pPr>
        <w:spacing w:line="276" w:lineRule="auto"/>
        <w:ind w:right="-90.0000000000015"/>
        <w:jc w:val="both"/>
        <w:rPr>
          <w:sz w:val="16"/>
          <w:szCs w:val="16"/>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Proposition de services de propagande idéologique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151149</wp:posOffset>
            </wp:positionV>
            <wp:extent cx="942975" cy="568101"/>
            <wp:effectExtent b="0" l="0" r="0" t="0"/>
            <wp:wrapSquare wrapText="bothSides" distB="114300" distT="114300" distL="114300" distR="114300"/>
            <wp:docPr id="1790902393" name="image4.png"/>
            <a:graphic>
              <a:graphicData uri="http://schemas.openxmlformats.org/drawingml/2006/picture">
                <pic:pic>
                  <pic:nvPicPr>
                    <pic:cNvPr id="0" name="image4.png"/>
                    <pic:cNvPicPr preferRelativeResize="0"/>
                  </pic:nvPicPr>
                  <pic:blipFill>
                    <a:blip r:embed="rId24"/>
                    <a:srcRect b="24232" l="0" r="0" t="16145"/>
                    <a:stretch>
                      <a:fillRect/>
                    </a:stretch>
                  </pic:blipFill>
                  <pic:spPr>
                    <a:xfrm>
                      <a:off x="0" y="0"/>
                      <a:ext cx="942975" cy="568101"/>
                    </a:xfrm>
                    <a:prstGeom prst="rect"/>
                    <a:ln/>
                  </pic:spPr>
                </pic:pic>
              </a:graphicData>
            </a:graphic>
          </wp:anchor>
        </w:drawing>
      </w:r>
    </w:p>
    <w:p w:rsidR="00000000" w:rsidDel="00000000" w:rsidP="00000000" w:rsidRDefault="00000000" w:rsidRPr="00000000" w14:paraId="00000026">
      <w:pPr>
        <w:spacing w:line="276" w:lineRule="auto"/>
        <w:ind w:right="-95.66929133858139"/>
        <w:jc w:val="both"/>
        <w:rPr>
          <w:sz w:val="18"/>
          <w:szCs w:val="18"/>
        </w:rPr>
      </w:pPr>
      <w:r w:rsidDel="00000000" w:rsidR="00000000" w:rsidRPr="00000000">
        <w:rPr>
          <w:rtl w:val="0"/>
        </w:rPr>
      </w:r>
    </w:p>
    <w:p w:rsidR="00000000" w:rsidDel="00000000" w:rsidP="00000000" w:rsidRDefault="00000000" w:rsidRPr="00000000" w14:paraId="00000027">
      <w:pPr>
        <w:spacing w:line="276" w:lineRule="auto"/>
        <w:ind w:right="1356"/>
        <w:jc w:val="both"/>
        <w:rPr>
          <w:sz w:val="18"/>
          <w:szCs w:val="18"/>
        </w:rPr>
      </w:pPr>
      <w:r w:rsidDel="00000000" w:rsidR="00000000" w:rsidRPr="00000000">
        <w:rPr>
          <w:sz w:val="18"/>
          <w:szCs w:val="18"/>
          <w:rtl w:val="0"/>
        </w:rPr>
        <w:t xml:space="preserve">IBM ne propose pas de biens ou de services de propagande idéologique.</w:t>
      </w:r>
    </w:p>
    <w:p w:rsidR="00000000" w:rsidDel="00000000" w:rsidP="00000000" w:rsidRDefault="00000000" w:rsidRPr="00000000" w14:paraId="00000028">
      <w:pPr>
        <w:spacing w:line="276" w:lineRule="auto"/>
        <w:ind w:right="1356"/>
        <w:jc w:val="both"/>
        <w:rPr>
          <w:sz w:val="18"/>
          <w:szCs w:val="18"/>
        </w:rPr>
      </w:pPr>
      <w:r w:rsidDel="00000000" w:rsidR="00000000" w:rsidRPr="00000000">
        <w:rPr>
          <w:rtl w:val="0"/>
        </w:rPr>
      </w:r>
    </w:p>
    <w:p w:rsidR="00000000" w:rsidDel="00000000" w:rsidP="00000000" w:rsidRDefault="00000000" w:rsidRPr="00000000" w14:paraId="00000029">
      <w:pPr>
        <w:ind w:right="450"/>
        <w:jc w:val="both"/>
        <w:rPr>
          <w:sz w:val="18"/>
          <w:szCs w:val="18"/>
        </w:rPr>
        <w:sectPr>
          <w:type w:val="continuous"/>
          <w:pgSz w:h="16840" w:w="11910" w:orient="portrait"/>
          <w:pgMar w:bottom="1417" w:top="1417" w:left="1417" w:right="1944" w:header="340" w:footer="464"/>
        </w:sectPr>
      </w:pPr>
      <w:r w:rsidDel="00000000" w:rsidR="00000000" w:rsidRPr="00000000">
        <w:rPr>
          <w:rFonts w:ascii="Comfortaa" w:cs="Comfortaa" w:eastAsia="Comfortaa" w:hAnsi="Comfortaa"/>
          <w:b w:val="1"/>
          <w:color w:val="073763"/>
          <w:sz w:val="26"/>
          <w:szCs w:val="26"/>
          <w:rtl w:val="0"/>
        </w:rPr>
        <w:t xml:space="preserve">Politique extérieure </w:t>
      </w:r>
      <w:r w:rsidDel="00000000" w:rsidR="00000000" w:rsidRPr="00000000">
        <w:rPr>
          <w:rtl w:val="0"/>
        </w:rPr>
      </w:r>
    </w:p>
    <w:p w:rsidR="00000000" w:rsidDel="00000000" w:rsidP="00000000" w:rsidRDefault="00000000" w:rsidRPr="00000000" w14:paraId="0000002A">
      <w:pPr>
        <w:ind w:right="450"/>
        <w:jc w:val="both"/>
        <w:rPr>
          <w:rFonts w:ascii="Comfortaa" w:cs="Comfortaa" w:eastAsia="Comfortaa" w:hAnsi="Comfortaa"/>
          <w:b w:val="1"/>
          <w:color w:val="073763"/>
          <w:sz w:val="26"/>
          <w:szCs w:val="26"/>
        </w:rPr>
        <w:sectPr>
          <w:type w:val="continuous"/>
          <w:pgSz w:h="16840" w:w="11910" w:orient="portrait"/>
          <w:pgMar w:bottom="1417" w:top="1417" w:left="1417" w:right="1944" w:header="340" w:footer="464"/>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5143500</wp:posOffset>
            </wp:positionH>
            <wp:positionV relativeFrom="paragraph">
              <wp:posOffset>258984</wp:posOffset>
            </wp:positionV>
            <wp:extent cx="942975" cy="568101"/>
            <wp:effectExtent b="0" l="0" r="0" t="0"/>
            <wp:wrapSquare wrapText="bothSides" distB="114300" distT="114300" distL="114300" distR="114300"/>
            <wp:docPr id="1790902392" name="image4.png"/>
            <a:graphic>
              <a:graphicData uri="http://schemas.openxmlformats.org/drawingml/2006/picture">
                <pic:pic>
                  <pic:nvPicPr>
                    <pic:cNvPr id="0" name="image4.png"/>
                    <pic:cNvPicPr preferRelativeResize="0"/>
                  </pic:nvPicPr>
                  <pic:blipFill>
                    <a:blip r:embed="rId24"/>
                    <a:srcRect b="24232" l="0" r="0" t="16145"/>
                    <a:stretch>
                      <a:fillRect/>
                    </a:stretch>
                  </pic:blipFill>
                  <pic:spPr>
                    <a:xfrm>
                      <a:off x="0" y="0"/>
                      <a:ext cx="942975" cy="568101"/>
                    </a:xfrm>
                    <a:prstGeom prst="rect"/>
                    <a:ln/>
                  </pic:spPr>
                </pic:pic>
              </a:graphicData>
            </a:graphic>
          </wp:anchor>
        </w:drawing>
      </w:r>
    </w:p>
    <w:p w:rsidR="00000000" w:rsidDel="00000000" w:rsidP="00000000" w:rsidRDefault="00000000" w:rsidRPr="00000000" w14:paraId="0000002B">
      <w:pPr>
        <w:ind w:right="-90.0000000000015"/>
        <w:jc w:val="both"/>
        <w:rPr>
          <w:b w:val="1"/>
          <w:color w:val="3d85c6"/>
          <w:sz w:val="18"/>
          <w:szCs w:val="18"/>
          <w:shd w:fill="cfe2f3" w:val="clear"/>
        </w:rPr>
      </w:pPr>
      <w:r w:rsidDel="00000000" w:rsidR="00000000" w:rsidRPr="00000000">
        <w:rPr>
          <w:b w:val="1"/>
          <w:color w:val="3d85c6"/>
          <w:sz w:val="18"/>
          <w:szCs w:val="18"/>
          <w:shd w:fill="cfe2f3" w:val="clear"/>
          <w:rtl w:val="0"/>
        </w:rPr>
        <w:t xml:space="preserve">Subordination aux politiques d’écologie punitive sous l'influence d’associations ou d’organisations idéologiques</w:t>
      </w:r>
    </w:p>
    <w:p w:rsidR="00000000" w:rsidDel="00000000" w:rsidP="00000000" w:rsidRDefault="00000000" w:rsidRPr="00000000" w14:paraId="0000002C">
      <w:pPr>
        <w:ind w:right="-90.0000000000015"/>
        <w:jc w:val="both"/>
        <w:rPr>
          <w:i w:val="1"/>
          <w:sz w:val="16"/>
          <w:szCs w:val="16"/>
        </w:rPr>
      </w:pPr>
      <w:r w:rsidDel="00000000" w:rsidR="00000000" w:rsidRPr="00000000">
        <w:rPr>
          <w:rtl w:val="0"/>
        </w:rPr>
      </w:r>
    </w:p>
    <w:p w:rsidR="00000000" w:rsidDel="00000000" w:rsidP="00000000" w:rsidRDefault="00000000" w:rsidRPr="00000000" w14:paraId="0000002D">
      <w:pPr>
        <w:ind w:right="-90.0000000000015"/>
        <w:jc w:val="both"/>
        <w:rPr>
          <w:sz w:val="18"/>
          <w:szCs w:val="18"/>
        </w:rPr>
      </w:pPr>
      <w:r w:rsidDel="00000000" w:rsidR="00000000" w:rsidRPr="00000000">
        <w:rPr>
          <w:sz w:val="18"/>
          <w:szCs w:val="18"/>
          <w:rtl w:val="0"/>
        </w:rPr>
        <w:t xml:space="preserve">IBM ne dispose pas de politiques écologiques punitives.</w:t>
      </w:r>
    </w:p>
    <w:p w:rsidR="00000000" w:rsidDel="00000000" w:rsidP="00000000" w:rsidRDefault="00000000" w:rsidRPr="00000000" w14:paraId="0000002E">
      <w:pPr>
        <w:ind w:right="-90.0000000000015"/>
        <w:jc w:val="both"/>
        <w:rPr>
          <w:b w:val="1"/>
          <w:color w:val="3d85c6"/>
          <w:sz w:val="18"/>
          <w:szCs w:val="18"/>
          <w:shd w:fill="cfe2f3" w:val="clear"/>
        </w:rPr>
      </w:pPr>
      <w:r w:rsidDel="00000000" w:rsidR="00000000" w:rsidRPr="00000000">
        <w:rPr>
          <w:rtl w:val="0"/>
        </w:rPr>
      </w:r>
    </w:p>
    <w:p w:rsidR="00000000" w:rsidDel="00000000" w:rsidP="00000000" w:rsidRDefault="00000000" w:rsidRPr="00000000" w14:paraId="0000002F">
      <w:pPr>
        <w:ind w:right="-90.0000000000015"/>
        <w:jc w:val="both"/>
        <w:rPr>
          <w:b w:val="1"/>
          <w:color w:val="3d85c6"/>
          <w:sz w:val="18"/>
          <w:szCs w:val="18"/>
          <w:shd w:fill="cfe2f3" w:val="clear"/>
        </w:rPr>
      </w:pPr>
      <w:r w:rsidDel="00000000" w:rsidR="00000000" w:rsidRPr="00000000">
        <w:rPr>
          <w:rtl w:val="0"/>
        </w:rPr>
      </w:r>
    </w:p>
    <w:p w:rsidR="00000000" w:rsidDel="00000000" w:rsidP="00000000" w:rsidRDefault="00000000" w:rsidRPr="00000000" w14:paraId="00000030">
      <w:pPr>
        <w:ind w:right="-90.0000000000015"/>
        <w:jc w:val="both"/>
        <w:rPr>
          <w:b w:val="1"/>
          <w:color w:val="3d85c6"/>
          <w:sz w:val="18"/>
          <w:szCs w:val="18"/>
          <w:shd w:fill="cfe2f3" w:val="clear"/>
        </w:rPr>
      </w:pPr>
      <w:r w:rsidDel="00000000" w:rsidR="00000000" w:rsidRPr="00000000">
        <w:rPr>
          <w:rtl w:val="0"/>
        </w:rPr>
      </w:r>
    </w:p>
    <w:p w:rsidR="00000000" w:rsidDel="00000000" w:rsidP="00000000" w:rsidRDefault="00000000" w:rsidRPr="00000000" w14:paraId="00000031">
      <w:pPr>
        <w:ind w:right="-90.0000000000015"/>
        <w:jc w:val="both"/>
        <w:rPr>
          <w:b w:val="1"/>
          <w:color w:val="3d85c6"/>
          <w:sz w:val="18"/>
          <w:szCs w:val="18"/>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Politique de dons discriminatoires à l'égard des organisations caritatives en raison de leurs opinions ou de leurs croyances religieuses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5072063</wp:posOffset>
            </wp:positionH>
            <wp:positionV relativeFrom="paragraph">
              <wp:posOffset>120048</wp:posOffset>
            </wp:positionV>
            <wp:extent cx="1090295" cy="619125"/>
            <wp:effectExtent b="0" l="0" r="0" t="0"/>
            <wp:wrapSquare wrapText="bothSides" distB="114300" distT="114300" distL="114300" distR="114300"/>
            <wp:docPr id="1790902395" name="image6.png"/>
            <a:graphic>
              <a:graphicData uri="http://schemas.openxmlformats.org/drawingml/2006/picture">
                <pic:pic>
                  <pic:nvPicPr>
                    <pic:cNvPr id="0" name="image6.png"/>
                    <pic:cNvPicPr preferRelativeResize="0"/>
                  </pic:nvPicPr>
                  <pic:blipFill>
                    <a:blip r:embed="rId25"/>
                    <a:srcRect b="30661" l="18238" r="0" t="16787"/>
                    <a:stretch>
                      <a:fillRect/>
                    </a:stretch>
                  </pic:blipFill>
                  <pic:spPr>
                    <a:xfrm>
                      <a:off x="0" y="0"/>
                      <a:ext cx="1090295" cy="619125"/>
                    </a:xfrm>
                    <a:prstGeom prst="rect"/>
                    <a:ln/>
                  </pic:spPr>
                </pic:pic>
              </a:graphicData>
            </a:graphic>
          </wp:anchor>
        </w:drawing>
      </w:r>
    </w:p>
    <w:p w:rsidR="00000000" w:rsidDel="00000000" w:rsidP="00000000" w:rsidRDefault="00000000" w:rsidRPr="00000000" w14:paraId="00000032">
      <w:pPr>
        <w:ind w:right="-90.0000000000015"/>
        <w:jc w:val="both"/>
        <w:rPr>
          <w:sz w:val="18"/>
          <w:szCs w:val="18"/>
        </w:rPr>
      </w:pPr>
      <w:r w:rsidDel="00000000" w:rsidR="00000000" w:rsidRPr="00000000">
        <w:rPr>
          <w:rtl w:val="0"/>
        </w:rPr>
      </w:r>
    </w:p>
    <w:p w:rsidR="00000000" w:rsidDel="00000000" w:rsidP="00000000" w:rsidRDefault="00000000" w:rsidRPr="00000000" w14:paraId="00000033">
      <w:pPr>
        <w:ind w:right="-90.0000000000015"/>
        <w:jc w:val="both"/>
        <w:rPr>
          <w:sz w:val="18"/>
          <w:szCs w:val="18"/>
        </w:rPr>
      </w:pPr>
      <w:r w:rsidDel="00000000" w:rsidR="00000000" w:rsidRPr="00000000">
        <w:rPr>
          <w:sz w:val="18"/>
          <w:szCs w:val="18"/>
          <w:rtl w:val="0"/>
        </w:rPr>
        <w:t xml:space="preserve">IBM est un sponsor de bronze de Out &amp; Equal et un partenaire fondateur de la National LGBT Chamber of Commerce (</w:t>
      </w:r>
      <w:hyperlink r:id="rId26">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27">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 </w:t>
      </w:r>
    </w:p>
    <w:p w:rsidR="00000000" w:rsidDel="00000000" w:rsidP="00000000" w:rsidRDefault="00000000" w:rsidRPr="00000000" w14:paraId="00000034">
      <w:pPr>
        <w:ind w:right="-90.0000000000015"/>
        <w:jc w:val="both"/>
        <w:rPr>
          <w:sz w:val="18"/>
          <w:szCs w:val="18"/>
        </w:rPr>
      </w:pPr>
      <w:r w:rsidDel="00000000" w:rsidR="00000000" w:rsidRPr="00000000">
        <w:rPr>
          <w:rtl w:val="0"/>
        </w:rPr>
      </w:r>
    </w:p>
    <w:p w:rsidR="00000000" w:rsidDel="00000000" w:rsidP="00000000" w:rsidRDefault="00000000" w:rsidRPr="00000000" w14:paraId="00000035">
      <w:pPr>
        <w:ind w:right="-90.0000000000015"/>
        <w:jc w:val="both"/>
        <w:rPr>
          <w:sz w:val="18"/>
          <w:szCs w:val="18"/>
        </w:rPr>
      </w:pPr>
      <w:r w:rsidDel="00000000" w:rsidR="00000000" w:rsidRPr="00000000">
        <w:rPr>
          <w:rtl w:val="0"/>
        </w:rPr>
      </w:r>
    </w:p>
    <w:p w:rsidR="00000000" w:rsidDel="00000000" w:rsidP="00000000" w:rsidRDefault="00000000" w:rsidRPr="00000000" w14:paraId="00000036">
      <w:pPr>
        <w:ind w:right="-90.0000000000015"/>
        <w:jc w:val="both"/>
        <w:rPr>
          <w:b w:val="1"/>
          <w:color w:val="3d85c6"/>
          <w:sz w:val="18"/>
          <w:szCs w:val="18"/>
          <w:shd w:fill="cfe2f3" w:val="clear"/>
        </w:rPr>
      </w:pPr>
      <w:r w:rsidDel="00000000" w:rsidR="00000000" w:rsidRPr="00000000">
        <w:rPr>
          <w:b w:val="1"/>
          <w:color w:val="3d85c6"/>
          <w:sz w:val="18"/>
          <w:szCs w:val="18"/>
          <w:shd w:fill="cfe2f3" w:val="clear"/>
          <w:rtl w:val="0"/>
        </w:rPr>
        <w:t xml:space="preserve">Utilisation de la renommée de l'entreprise pour soutenir des causes idéologiques et/ou des organisations hostiles à la liberté d'expression</w:t>
      </w:r>
      <w:r w:rsidDel="00000000" w:rsidR="00000000" w:rsidRPr="00000000">
        <w:drawing>
          <wp:anchor allowOverlap="1" behindDoc="0" distB="114300" distT="114300" distL="114300" distR="114300" hidden="0" layoutInCell="1" locked="0" relativeHeight="0" simplePos="0">
            <wp:simplePos x="0" y="0"/>
            <wp:positionH relativeFrom="column">
              <wp:posOffset>5114925</wp:posOffset>
            </wp:positionH>
            <wp:positionV relativeFrom="paragraph">
              <wp:posOffset>347607</wp:posOffset>
            </wp:positionV>
            <wp:extent cx="997479" cy="619125"/>
            <wp:effectExtent b="0" l="0" r="0" t="0"/>
            <wp:wrapSquare wrapText="bothSides" distB="114300" distT="114300" distL="114300" distR="114300"/>
            <wp:docPr id="1790902390" name="image5.png"/>
            <a:graphic>
              <a:graphicData uri="http://schemas.openxmlformats.org/drawingml/2006/picture">
                <pic:pic>
                  <pic:nvPicPr>
                    <pic:cNvPr id="0" name="image5.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37">
      <w:pPr>
        <w:ind w:right="1356"/>
        <w:jc w:val="both"/>
        <w:rPr>
          <w:b w:val="1"/>
          <w:sz w:val="18"/>
          <w:szCs w:val="18"/>
        </w:rPr>
      </w:pPr>
      <w:r w:rsidDel="00000000" w:rsidR="00000000" w:rsidRPr="00000000">
        <w:rPr>
          <w:rtl w:val="0"/>
        </w:rPr>
      </w:r>
    </w:p>
    <w:p w:rsidR="00000000" w:rsidDel="00000000" w:rsidP="00000000" w:rsidRDefault="00000000" w:rsidRPr="00000000" w14:paraId="00000038">
      <w:pPr>
        <w:ind w:right="-95.66929133858139"/>
        <w:jc w:val="both"/>
        <w:rPr>
          <w:sz w:val="18"/>
          <w:szCs w:val="18"/>
        </w:rPr>
      </w:pPr>
      <w:r w:rsidDel="00000000" w:rsidR="00000000" w:rsidRPr="00000000">
        <w:rPr>
          <w:sz w:val="18"/>
          <w:szCs w:val="18"/>
          <w:rtl w:val="0"/>
        </w:rPr>
        <w:t xml:space="preserve">La note CEI 2023-2024 de HRC pour IBM indique que l'entreprise accepte de permettre à un groupe de parties prenantes controversé, axé sur les questions d'identité sexuelle, de dicter la stratégie marketing ou publicitaire (</w:t>
      </w:r>
      <w:hyperlink r:id="rId28">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29">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p>
    <w:p w:rsidR="00000000" w:rsidDel="00000000" w:rsidP="00000000" w:rsidRDefault="00000000" w:rsidRPr="00000000" w14:paraId="00000039">
      <w:pPr>
        <w:ind w:right="-95.66929133858139"/>
        <w:jc w:val="both"/>
        <w:rPr>
          <w:sz w:val="18"/>
          <w:szCs w:val="18"/>
        </w:rPr>
      </w:pPr>
      <w:r w:rsidDel="00000000" w:rsidR="00000000" w:rsidRPr="00000000">
        <w:rPr>
          <w:sz w:val="18"/>
          <w:szCs w:val="18"/>
          <w:rtl w:val="0"/>
        </w:rPr>
        <w:t xml:space="preserve">L'entreprise soutient l'enseignement de l'identité de genre et de l'orientation sexuelle aux enfants (</w:t>
      </w:r>
      <w:hyperlink r:id="rId30">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p>
    <w:p w:rsidR="00000000" w:rsidDel="00000000" w:rsidP="00000000" w:rsidRDefault="00000000" w:rsidRPr="00000000" w14:paraId="0000003A">
      <w:pPr>
        <w:ind w:right="-95.66929133858139"/>
        <w:jc w:val="both"/>
        <w:rPr>
          <w:sz w:val="18"/>
          <w:szCs w:val="18"/>
        </w:rPr>
      </w:pPr>
      <w:r w:rsidDel="00000000" w:rsidR="00000000" w:rsidRPr="00000000">
        <w:rPr>
          <w:sz w:val="18"/>
          <w:szCs w:val="18"/>
          <w:rtl w:val="0"/>
        </w:rPr>
        <w:t xml:space="preserve">IBM a signé un mémoire amicus en opposition à la loi HB2 de la Caroline du Nord en 2016, qui exigeait que les personnes utilisent les toilettes correspondant à leur sexe biologique (</w:t>
      </w:r>
      <w:hyperlink r:id="rId31">
        <w:r w:rsidDel="00000000" w:rsidR="00000000" w:rsidRPr="00000000">
          <w:rPr>
            <w:color w:val="1155cc"/>
            <w:sz w:val="18"/>
            <w:szCs w:val="18"/>
            <w:u w:val="single"/>
            <w:rtl w:val="0"/>
          </w:rPr>
          <w:t xml:space="preserve">4</w:t>
        </w:r>
      </w:hyperlink>
      <w:r w:rsidDel="00000000" w:rsidR="00000000" w:rsidRPr="00000000">
        <w:rPr>
          <w:sz w:val="18"/>
          <w:szCs w:val="18"/>
          <w:rtl w:val="0"/>
        </w:rPr>
        <w:t xml:space="preserve">).</w:t>
      </w:r>
    </w:p>
    <w:p w:rsidR="00000000" w:rsidDel="00000000" w:rsidP="00000000" w:rsidRDefault="00000000" w:rsidRPr="00000000" w14:paraId="0000003B">
      <w:pPr>
        <w:ind w:right="-95.66929133858139"/>
        <w:jc w:val="both"/>
        <w:rPr>
          <w:sz w:val="18"/>
          <w:szCs w:val="18"/>
        </w:rPr>
      </w:pPr>
      <w:r w:rsidDel="00000000" w:rsidR="00000000" w:rsidRPr="00000000">
        <w:rPr>
          <w:sz w:val="18"/>
          <w:szCs w:val="18"/>
          <w:rtl w:val="0"/>
        </w:rPr>
        <w:t xml:space="preserve">La note CEI 2023-2024 de HRC pour IBM indique que l'entreprise a publiquement plaidé pour une idéologie controversée sur le sexe et le genre par le biais de législations ou d'initiatives locales, étatiques ou fédérales (</w:t>
      </w:r>
      <w:hyperlink r:id="rId32">
        <w:r w:rsidDel="00000000" w:rsidR="00000000" w:rsidRPr="00000000">
          <w:rPr>
            <w:color w:val="1155cc"/>
            <w:sz w:val="18"/>
            <w:szCs w:val="18"/>
            <w:u w:val="single"/>
            <w:rtl w:val="0"/>
          </w:rPr>
          <w:t xml:space="preserve">5</w:t>
        </w:r>
      </w:hyperlink>
      <w:r w:rsidDel="00000000" w:rsidR="00000000" w:rsidRPr="00000000">
        <w:rPr>
          <w:sz w:val="18"/>
          <w:szCs w:val="18"/>
          <w:rtl w:val="0"/>
        </w:rPr>
        <w:t xml:space="preserve">)(</w:t>
      </w:r>
      <w:hyperlink r:id="rId33">
        <w:r w:rsidDel="00000000" w:rsidR="00000000" w:rsidRPr="00000000">
          <w:rPr>
            <w:color w:val="1155cc"/>
            <w:sz w:val="18"/>
            <w:szCs w:val="18"/>
            <w:u w:val="single"/>
            <w:rtl w:val="0"/>
          </w:rPr>
          <w:t xml:space="preserve">6</w:t>
        </w:r>
      </w:hyperlink>
      <w:r w:rsidDel="00000000" w:rsidR="00000000" w:rsidRPr="00000000">
        <w:rPr>
          <w:sz w:val="18"/>
          <w:szCs w:val="18"/>
          <w:rtl w:val="0"/>
        </w:rPr>
        <w:t xml:space="preserve">). </w:t>
      </w:r>
    </w:p>
    <w:p w:rsidR="00000000" w:rsidDel="00000000" w:rsidP="00000000" w:rsidRDefault="00000000" w:rsidRPr="00000000" w14:paraId="0000003C">
      <w:pPr>
        <w:ind w:right="-95.66929133858139"/>
        <w:jc w:val="both"/>
        <w:rPr>
          <w:i w:val="1"/>
          <w:sz w:val="18"/>
          <w:szCs w:val="18"/>
        </w:rPr>
        <w:sectPr>
          <w:type w:val="continuous"/>
          <w:pgSz w:h="16840" w:w="11910" w:orient="portrait"/>
          <w:pgMar w:bottom="1417" w:top="1417" w:left="1417" w:right="1944" w:header="340" w:footer="464"/>
        </w:sectPr>
      </w:pPr>
      <w:r w:rsidDel="00000000" w:rsidR="00000000" w:rsidRPr="00000000">
        <w:rPr>
          <w:rtl w:val="0"/>
        </w:rPr>
      </w:r>
    </w:p>
    <w:p w:rsidR="00000000" w:rsidDel="00000000" w:rsidP="00000000" w:rsidRDefault="00000000" w:rsidRPr="00000000" w14:paraId="0000003D">
      <w:pPr>
        <w:ind w:left="1.9999999999993179" w:right="-90.0000000000015" w:firstLine="0"/>
        <w:jc w:val="both"/>
        <w:rPr>
          <w:b w:val="1"/>
          <w:color w:val="3d85c6"/>
          <w:sz w:val="18"/>
          <w:szCs w:val="18"/>
          <w:shd w:fill="cfe2f3" w:val="clear"/>
        </w:rPr>
        <w:sectPr>
          <w:type w:val="continuous"/>
          <w:pgSz w:h="16840" w:w="11910" w:orient="portrait"/>
          <w:pgMar w:bottom="1417" w:top="1417" w:left="1417" w:right="1944" w:header="340" w:footer="464"/>
        </w:sectPr>
      </w:pPr>
      <w:r w:rsidDel="00000000" w:rsidR="00000000" w:rsidRPr="00000000">
        <w:rPr>
          <w:b w:val="1"/>
          <w:color w:val="3d85c6"/>
          <w:sz w:val="18"/>
          <w:szCs w:val="18"/>
          <w:shd w:fill="cfe2f3" w:val="clear"/>
          <w:rtl w:val="0"/>
        </w:rPr>
        <w:t xml:space="preserve">Utilisation des moyens de l'entreprise en faveur des minorités ou pour promouvoir des causes idéologiques, des organisations ou des politiques hostiles à la liberté d’expression</w:t>
      </w:r>
    </w:p>
    <w:p w:rsidR="00000000" w:rsidDel="00000000" w:rsidP="00000000" w:rsidRDefault="00000000" w:rsidRPr="00000000" w14:paraId="0000003E">
      <w:pPr>
        <w:ind w:left="0" w:right="-90.0000000000015" w:firstLine="0"/>
        <w:jc w:val="both"/>
        <w:rPr>
          <w:color w:val="3d85c6"/>
          <w:sz w:val="16"/>
          <w:szCs w:val="16"/>
        </w:rPr>
        <w:sectPr>
          <w:type w:val="continuous"/>
          <w:pgSz w:h="16840" w:w="11910" w:orient="portrait"/>
          <w:pgMar w:bottom="1417" w:top="1417" w:left="1417" w:right="1944" w:header="340" w:footer="464"/>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5114925</wp:posOffset>
            </wp:positionH>
            <wp:positionV relativeFrom="paragraph">
              <wp:posOffset>116830</wp:posOffset>
            </wp:positionV>
            <wp:extent cx="997479" cy="619125"/>
            <wp:effectExtent b="0" l="0" r="0" t="0"/>
            <wp:wrapSquare wrapText="bothSides" distB="114300" distT="114300" distL="114300" distR="114300"/>
            <wp:docPr id="1790902399" name="image5.png"/>
            <a:graphic>
              <a:graphicData uri="http://schemas.openxmlformats.org/drawingml/2006/picture">
                <pic:pic>
                  <pic:nvPicPr>
                    <pic:cNvPr id="0" name="image5.png"/>
                    <pic:cNvPicPr preferRelativeResize="0"/>
                  </pic:nvPicPr>
                  <pic:blipFill>
                    <a:blip r:embed="rId11"/>
                    <a:srcRect b="34095" l="12711" r="10027" t="18061"/>
                    <a:stretch>
                      <a:fillRect/>
                    </a:stretch>
                  </pic:blipFill>
                  <pic:spPr>
                    <a:xfrm>
                      <a:off x="0" y="0"/>
                      <a:ext cx="997479" cy="619125"/>
                    </a:xfrm>
                    <a:prstGeom prst="rect"/>
                    <a:ln/>
                  </pic:spPr>
                </pic:pic>
              </a:graphicData>
            </a:graphic>
          </wp:anchor>
        </w:drawing>
      </w:r>
    </w:p>
    <w:p w:rsidR="00000000" w:rsidDel="00000000" w:rsidP="00000000" w:rsidRDefault="00000000" w:rsidRPr="00000000" w14:paraId="0000003F">
      <w:pPr>
        <w:ind w:left="0" w:right="-95.66929133858139" w:firstLine="0"/>
        <w:jc w:val="both"/>
        <w:rPr>
          <w:sz w:val="18"/>
          <w:szCs w:val="18"/>
        </w:rPr>
      </w:pPr>
      <w:r w:rsidDel="00000000" w:rsidR="00000000" w:rsidRPr="00000000">
        <w:rPr>
          <w:sz w:val="18"/>
          <w:szCs w:val="18"/>
          <w:rtl w:val="0"/>
        </w:rPr>
        <w:t xml:space="preserve">La note CEI 2023-2024 de HRC pour IBM indique que l'entreprise couvre les coûts liés aux services transgenres pour ses employés et leurs enfants, y compris les congés payés de courte durée, les bloqueurs de puberté, les hormones de sexe opposé, les chirurgies mammaires, les chirurgies génitales, les visites médicales et la surveillance des laboratoires, ainsi que les frais de voyage et d'hébergement. De plus, l'entreprise s'est engagée à soutenir philanthropiquement au moins une organisation ou un événement promouvant l'idéologie sexuelle et de genre (</w:t>
      </w:r>
      <w:hyperlink r:id="rId34">
        <w:r w:rsidDel="00000000" w:rsidR="00000000" w:rsidRPr="00000000">
          <w:rPr>
            <w:color w:val="1155cc"/>
            <w:sz w:val="18"/>
            <w:szCs w:val="18"/>
            <w:u w:val="single"/>
            <w:rtl w:val="0"/>
          </w:rPr>
          <w:t xml:space="preserve">1</w:t>
        </w:r>
      </w:hyperlink>
      <w:r w:rsidDel="00000000" w:rsidR="00000000" w:rsidRPr="00000000">
        <w:rPr>
          <w:sz w:val="18"/>
          <w:szCs w:val="18"/>
          <w:rtl w:val="0"/>
        </w:rPr>
        <w:t xml:space="preserve">)(</w:t>
      </w:r>
      <w:hyperlink r:id="rId35">
        <w:r w:rsidDel="00000000" w:rsidR="00000000" w:rsidRPr="00000000">
          <w:rPr>
            <w:color w:val="1155cc"/>
            <w:sz w:val="18"/>
            <w:szCs w:val="18"/>
            <w:u w:val="single"/>
            <w:rtl w:val="0"/>
          </w:rPr>
          <w:t xml:space="preserve">2</w:t>
        </w:r>
      </w:hyperlink>
      <w:r w:rsidDel="00000000" w:rsidR="00000000" w:rsidRPr="00000000">
        <w:rPr>
          <w:sz w:val="18"/>
          <w:szCs w:val="18"/>
          <w:rtl w:val="0"/>
        </w:rPr>
        <w:t xml:space="preserve">).</w:t>
      </w:r>
    </w:p>
    <w:p w:rsidR="00000000" w:rsidDel="00000000" w:rsidP="00000000" w:rsidRDefault="00000000" w:rsidRPr="00000000" w14:paraId="00000040">
      <w:pPr>
        <w:ind w:left="0" w:right="-95.66929133858139" w:firstLine="0"/>
        <w:jc w:val="both"/>
        <w:rPr>
          <w:sz w:val="18"/>
          <w:szCs w:val="18"/>
        </w:rPr>
        <w:sectPr>
          <w:type w:val="continuous"/>
          <w:pgSz w:h="16840" w:w="11910" w:orient="portrait"/>
          <w:pgMar w:bottom="1417" w:top="1417" w:left="1417" w:right="1944" w:header="340" w:footer="464"/>
        </w:sectPr>
      </w:pPr>
      <w:r w:rsidDel="00000000" w:rsidR="00000000" w:rsidRPr="00000000">
        <w:rPr>
          <w:sz w:val="18"/>
          <w:szCs w:val="18"/>
          <w:rtl w:val="0"/>
        </w:rPr>
        <w:t xml:space="preserve">L'entreprise finançait auparavant uniquement les minorités par le biais de certaines parties de son programme de bourses, mais a fait marche arrière suite à des rapports conservateurs sur la question (</w:t>
      </w:r>
      <w:hyperlink r:id="rId36">
        <w:r w:rsidDel="00000000" w:rsidR="00000000" w:rsidRPr="00000000">
          <w:rPr>
            <w:color w:val="1155cc"/>
            <w:sz w:val="18"/>
            <w:szCs w:val="18"/>
            <w:u w:val="single"/>
            <w:rtl w:val="0"/>
          </w:rPr>
          <w:t xml:space="preserve">3</w:t>
        </w:r>
      </w:hyperlink>
      <w:r w:rsidDel="00000000" w:rsidR="00000000" w:rsidRPr="00000000">
        <w:rPr>
          <w:sz w:val="18"/>
          <w:szCs w:val="18"/>
          <w:rtl w:val="0"/>
        </w:rPr>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type w:val="nextPage"/>
      <w:pgSz w:h="16840" w:w="11910" w:orient="portrait"/>
      <w:pgMar w:bottom="1417" w:top="1417" w:left="1417" w:right="1944" w:header="340" w:footer="4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16"/>
        <w:szCs w:val="16"/>
        <w:highlight w:val="yellow"/>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ind w:right="48"/>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18"/>
        <w:szCs w:val="18"/>
      </w:rPr>
      <w:drawing>
        <wp:inline distB="114300" distT="114300" distL="114300" distR="114300">
          <wp:extent cx="1438275" cy="481965"/>
          <wp:effectExtent b="0" l="0" r="0" t="0"/>
          <wp:docPr id="1790902394" name="image2.png"/>
          <a:graphic>
            <a:graphicData uri="http://schemas.openxmlformats.org/drawingml/2006/picture">
              <pic:pic>
                <pic:nvPicPr>
                  <pic:cNvPr id="0" name="image2.png"/>
                  <pic:cNvPicPr preferRelativeResize="0"/>
                </pic:nvPicPr>
                <pic:blipFill>
                  <a:blip r:embed="rId1"/>
                  <a:srcRect b="35308" l="0" r="0" t="30878"/>
                  <a:stretch>
                    <a:fillRect/>
                  </a:stretch>
                </pic:blipFill>
                <pic:spPr>
                  <a:xfrm>
                    <a:off x="0" y="0"/>
                    <a:ext cx="1438275" cy="4819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2147"/>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147"/>
    </w:pPr>
    <w:rPr>
      <w:b w:val="1"/>
      <w:sz w:val="40"/>
      <w:szCs w:val="40"/>
    </w:rPr>
  </w:style>
  <w:style w:type="paragraph" w:styleId="Normal" w:default="1">
    <w:name w:val="Normal"/>
    <w:qFormat w:val="1"/>
    <w:rsid w:val="002E0B90"/>
    <w:pPr>
      <w:widowControl w:val="0"/>
      <w:autoSpaceDE w:val="0"/>
      <w:autoSpaceDN w:val="0"/>
    </w:pPr>
    <w:rPr>
      <w:rFonts w:ascii="Arial" w:cs="Arial" w:eastAsia="Arial" w:hAnsi="Arial"/>
      <w:sz w:val="22"/>
      <w:szCs w:val="22"/>
      <w:lang w:val="en-US"/>
    </w:rPr>
  </w:style>
  <w:style w:type="paragraph" w:styleId="Titre1">
    <w:name w:val="heading 1"/>
    <w:basedOn w:val="Normal"/>
    <w:link w:val="Titre1Car"/>
    <w:uiPriority w:val="9"/>
    <w:qFormat w:val="1"/>
    <w:rsid w:val="002E0B90"/>
    <w:pPr>
      <w:ind w:left="2147"/>
      <w:outlineLvl w:val="0"/>
    </w:pPr>
    <w:rPr>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2E0B90"/>
    <w:rPr>
      <w:rFonts w:ascii="Arial" w:cs="Arial" w:eastAsia="Arial" w:hAnsi="Arial"/>
      <w:sz w:val="20"/>
      <w:szCs w:val="20"/>
      <w:lang w:val="en-US"/>
    </w:rPr>
  </w:style>
  <w:style w:type="paragraph" w:styleId="Corpsdetexte">
    <w:name w:val="Body Text"/>
    <w:basedOn w:val="Normal"/>
    <w:link w:val="CorpsdetexteCar"/>
    <w:uiPriority w:val="1"/>
    <w:qFormat w:val="1"/>
    <w:rsid w:val="002E0B90"/>
    <w:rPr>
      <w:i w:val="1"/>
      <w:iCs w:val="1"/>
      <w:sz w:val="18"/>
      <w:szCs w:val="18"/>
    </w:rPr>
  </w:style>
  <w:style w:type="character" w:styleId="CorpsdetexteCar" w:customStyle="1">
    <w:name w:val="Corps de texte Car"/>
    <w:basedOn w:val="Policepardfaut"/>
    <w:link w:val="Corpsdetexte"/>
    <w:uiPriority w:val="1"/>
    <w:rsid w:val="002E0B90"/>
    <w:rPr>
      <w:rFonts w:ascii="Arial" w:cs="Arial" w:eastAsia="Arial" w:hAnsi="Arial"/>
      <w:i w:val="1"/>
      <w:iCs w:val="1"/>
      <w:sz w:val="18"/>
      <w:szCs w:val="18"/>
      <w:lang w:val="en-US"/>
    </w:rPr>
  </w:style>
  <w:style w:type="paragraph" w:styleId="Titre">
    <w:name w:val="Title"/>
    <w:basedOn w:val="Normal"/>
    <w:link w:val="TitreCar"/>
    <w:uiPriority w:val="10"/>
    <w:qFormat w:val="1"/>
    <w:rsid w:val="002E0B90"/>
    <w:pPr>
      <w:spacing w:before="85"/>
      <w:ind w:left="2147"/>
    </w:pPr>
    <w:rPr>
      <w:b w:val="1"/>
      <w:bCs w:val="1"/>
      <w:sz w:val="40"/>
      <w:szCs w:val="40"/>
    </w:rPr>
  </w:style>
  <w:style w:type="character" w:styleId="TitreCar" w:customStyle="1">
    <w:name w:val="Titre Car"/>
    <w:basedOn w:val="Policepardfaut"/>
    <w:link w:val="Titre"/>
    <w:uiPriority w:val="10"/>
    <w:rsid w:val="002E0B90"/>
    <w:rPr>
      <w:rFonts w:ascii="Arial" w:cs="Arial" w:eastAsia="Arial" w:hAnsi="Arial"/>
      <w:b w:val="1"/>
      <w:bCs w:val="1"/>
      <w:sz w:val="40"/>
      <w:szCs w:val="40"/>
      <w:lang w:val="en-US"/>
    </w:rPr>
  </w:style>
  <w:style w:type="character" w:styleId="Lienhypertexte">
    <w:name w:val="Hyperlink"/>
    <w:basedOn w:val="Policepardfaut"/>
    <w:uiPriority w:val="99"/>
    <w:unhideWhenUsed w:val="1"/>
    <w:rsid w:val="003A6037"/>
    <w:rPr>
      <w:color w:val="0563c1" w:themeColor="hyperlink"/>
      <w:u w:val="single"/>
    </w:rPr>
  </w:style>
  <w:style w:type="character" w:styleId="Lienhypertextesuivivisit">
    <w:name w:val="FollowedHyperlink"/>
    <w:basedOn w:val="Policepardfaut"/>
    <w:uiPriority w:val="99"/>
    <w:semiHidden w:val="1"/>
    <w:unhideWhenUsed w:val="1"/>
    <w:rsid w:val="003A6037"/>
    <w:rPr>
      <w:color w:val="954f72" w:themeColor="followedHyperlink"/>
      <w:u w:val="single"/>
    </w:rPr>
  </w:style>
  <w:style w:type="character" w:styleId="Mentionnonrsolue">
    <w:name w:val="Unresolved Mention"/>
    <w:basedOn w:val="Policepardfaut"/>
    <w:uiPriority w:val="99"/>
    <w:semiHidden w:val="1"/>
    <w:unhideWhenUsed w:val="1"/>
    <w:rsid w:val="008C387C"/>
    <w:rPr>
      <w:color w:val="605e5c"/>
      <w:shd w:color="auto" w:fill="e1dfdd" w:val="clear"/>
    </w:rPr>
  </w:style>
  <w:style w:type="paragraph" w:styleId="En-tte">
    <w:name w:val="header"/>
    <w:basedOn w:val="Normal"/>
    <w:link w:val="En-tteCar"/>
    <w:uiPriority w:val="99"/>
    <w:unhideWhenUsed w:val="1"/>
    <w:rsid w:val="009A5D4B"/>
    <w:pPr>
      <w:tabs>
        <w:tab w:val="center" w:pos="4536"/>
        <w:tab w:val="right" w:pos="9072"/>
      </w:tabs>
    </w:pPr>
  </w:style>
  <w:style w:type="character" w:styleId="En-tteCar" w:customStyle="1">
    <w:name w:val="En-tête Car"/>
    <w:basedOn w:val="Policepardfaut"/>
    <w:link w:val="En-tte"/>
    <w:uiPriority w:val="99"/>
    <w:rsid w:val="009A5D4B"/>
    <w:rPr>
      <w:rFonts w:ascii="Arial" w:cs="Arial" w:eastAsia="Arial" w:hAnsi="Arial"/>
      <w:sz w:val="22"/>
      <w:szCs w:val="22"/>
      <w:lang w:val="en-US"/>
    </w:rPr>
  </w:style>
  <w:style w:type="paragraph" w:styleId="Pieddepage">
    <w:name w:val="footer"/>
    <w:basedOn w:val="Normal"/>
    <w:link w:val="PieddepageCar"/>
    <w:uiPriority w:val="99"/>
    <w:unhideWhenUsed w:val="1"/>
    <w:rsid w:val="009A5D4B"/>
    <w:pPr>
      <w:tabs>
        <w:tab w:val="center" w:pos="4536"/>
        <w:tab w:val="right" w:pos="9072"/>
      </w:tabs>
    </w:pPr>
  </w:style>
  <w:style w:type="character" w:styleId="PieddepageCar" w:customStyle="1">
    <w:name w:val="Pied de page Car"/>
    <w:basedOn w:val="Policepardfaut"/>
    <w:link w:val="Pieddepage"/>
    <w:uiPriority w:val="99"/>
    <w:rsid w:val="009A5D4B"/>
    <w:rPr>
      <w:rFonts w:ascii="Arial" w:cs="Arial" w:eastAsia="Arial" w:hAnsi="Arial"/>
      <w:sz w:val="22"/>
      <w:szCs w:val="2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rc.org/resources/corporate-equality-index-criteria" TargetMode="External"/><Relationship Id="rId22" Type="http://schemas.openxmlformats.org/officeDocument/2006/relationships/hyperlink" Target="https://mcca.com/membership/" TargetMode="External"/><Relationship Id="rId21" Type="http://schemas.openxmlformats.org/officeDocument/2006/relationships/hyperlink" Target="https://oneten.org/partners/employers/" TargetMode="External"/><Relationship Id="rId24" Type="http://schemas.openxmlformats.org/officeDocument/2006/relationships/image" Target="media/image4.png"/><Relationship Id="rId23" Type="http://schemas.openxmlformats.org/officeDocument/2006/relationships/hyperlink" Target="https://mcca.com/membership/corporate-members-membership-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outandequal.org/oe-partners/#" TargetMode="External"/><Relationship Id="rId25" Type="http://schemas.openxmlformats.org/officeDocument/2006/relationships/image" Target="media/image6.png"/><Relationship Id="rId28" Type="http://schemas.openxmlformats.org/officeDocument/2006/relationships/hyperlink" Target="https://www.hrc.org/resources/buyers-guide/ibm-corp.-2" TargetMode="External"/><Relationship Id="rId27" Type="http://schemas.openxmlformats.org/officeDocument/2006/relationships/hyperlink" Target="https://nglcc.org/corporate-partner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hrc.org/resources/corporate-equality-index-criteria" TargetMode="Externa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yperlink" Target="https://www.hrc.org/press-releases/68-companies-sign-hrcs-amicus-brief-supporting-doj-effort-to-block-ncs-disc" TargetMode="External"/><Relationship Id="rId30" Type="http://schemas.openxmlformats.org/officeDocument/2006/relationships/hyperlink" Target="https://www.hrc.org/press-releases/marriott-hilton-american-airlines-and-airbnb-join-150-major-u-s-companies-to-oppose-anti-lgbtq-legislation-in-florida" TargetMode="External"/><Relationship Id="rId11" Type="http://schemas.openxmlformats.org/officeDocument/2006/relationships/image" Target="media/image5.png"/><Relationship Id="rId33" Type="http://schemas.openxmlformats.org/officeDocument/2006/relationships/hyperlink" Target="https://www.hrc.org/resources/corporate-equality-index-criteria" TargetMode="External"/><Relationship Id="rId10" Type="http://schemas.openxmlformats.org/officeDocument/2006/relationships/image" Target="media/image3.png"/><Relationship Id="rId32" Type="http://schemas.openxmlformats.org/officeDocument/2006/relationships/hyperlink" Target="https://www.hrc.org/resources/buyers-guide/ibm-corp.-2" TargetMode="External"/><Relationship Id="rId13" Type="http://schemas.openxmlformats.org/officeDocument/2006/relationships/hyperlink" Target="https://www.hrc.org/resources/corporate-equality-index-criteria" TargetMode="External"/><Relationship Id="rId35" Type="http://schemas.openxmlformats.org/officeDocument/2006/relationships/hyperlink" Target="https://www.hrc.org/resources/corporate-equality-index-criteria" TargetMode="External"/><Relationship Id="rId12" Type="http://schemas.openxmlformats.org/officeDocument/2006/relationships/hyperlink" Target="https://www.hrc.org/resources/buyers-guide/ibm-corp.-2" TargetMode="External"/><Relationship Id="rId34" Type="http://schemas.openxmlformats.org/officeDocument/2006/relationships/hyperlink" Target="https://www.hrc.org/resources/buyers-guide/ibm-corp.-2" TargetMode="External"/><Relationship Id="rId15" Type="http://schemas.openxmlformats.org/officeDocument/2006/relationships/hyperlink" Target="https://www.ceoaction.com/pledge/" TargetMode="External"/><Relationship Id="rId14" Type="http://schemas.openxmlformats.org/officeDocument/2006/relationships/hyperlink" Target="https://www.ceoaction.com/ceos/?page=19" TargetMode="External"/><Relationship Id="rId36" Type="http://schemas.openxmlformats.org/officeDocument/2006/relationships/hyperlink" Target="https://freebeacon.com/latest-news/google-ibm-quietly-backtrack-on-race-conscious-fellowships-in-wake-of-free-beacon-reports/" TargetMode="External"/><Relationship Id="rId17" Type="http://schemas.openxmlformats.org/officeDocument/2006/relationships/hyperlink" Target="https://aflegal.org/america-first-legal-slams-ibm-for-racially-discriminating-against-white-and-asian-americans-files-federal-civil-rights-complaint/" TargetMode="External"/><Relationship Id="rId16" Type="http://schemas.openxmlformats.org/officeDocument/2006/relationships/hyperlink" Target="https://aflegal.org/woke-corporations/" TargetMode="External"/><Relationship Id="rId19" Type="http://schemas.openxmlformats.org/officeDocument/2006/relationships/hyperlink" Target="https://www.hrc.org/resources/buyers-guide/ibm-corp.-2" TargetMode="External"/><Relationship Id="rId18" Type="http://schemas.openxmlformats.org/officeDocument/2006/relationships/hyperlink" Target="https://www.dailywire.com/news/ibm-hosts-internships-that-bar-whites-asians-and-men-with-exception-for-men-who-identify-as-wom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qqhBGagfr355sRs4XSLT3w88g==">CgMxLjA4AHIhMVFBVEZXSHIzNUlaVC04aU1zdWFRSVlfU09sUlBPVXpR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2024-05-02T09:58:00Z</dcterms:created>
  <dc:creator>Utilisateur de Microsoft Office</dc:creator>
</cp:coreProperties>
</file>